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200DA" w14:textId="77777777" w:rsidR="00AC77B5" w:rsidRPr="00AC77B5" w:rsidRDefault="00AC77B5" w:rsidP="000D72E0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0" w:name="_Hlk138628352"/>
    </w:p>
    <w:p w14:paraId="1D1AF300" w14:textId="2E66C074" w:rsidR="0059488C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LAPORTE COUNTY REDEVELOPMENT COMMISSION MEETING </w:t>
      </w:r>
    </w:p>
    <w:bookmarkEnd w:id="0"/>
    <w:p w14:paraId="2DE8F635" w14:textId="644F2398" w:rsidR="0059488C" w:rsidRPr="0059488C" w:rsidRDefault="0059488C" w:rsidP="0059488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 xml:space="preserve">Wednesday, </w:t>
      </w:r>
      <w:r w:rsidR="002D0EAA">
        <w:rPr>
          <w:rFonts w:ascii="Lora" w:eastAsia="Times New Roman" w:hAnsi="Lora" w:cs="Times New Roman"/>
          <w:color w:val="000000"/>
        </w:rPr>
        <w:t>May 22</w:t>
      </w:r>
      <w:r w:rsidRPr="0059488C">
        <w:rPr>
          <w:rFonts w:ascii="Lora" w:eastAsia="Times New Roman" w:hAnsi="Lora" w:cs="Times New Roman"/>
          <w:color w:val="000000"/>
        </w:rPr>
        <w:t>, 202</w:t>
      </w:r>
      <w:r w:rsidR="0086297C">
        <w:rPr>
          <w:rFonts w:ascii="Lora" w:eastAsia="Times New Roman" w:hAnsi="Lora" w:cs="Times New Roman"/>
          <w:color w:val="000000"/>
        </w:rPr>
        <w:t>4</w:t>
      </w:r>
      <w:r w:rsidRPr="0059488C">
        <w:rPr>
          <w:rFonts w:ascii="Lora" w:eastAsia="Times New Roman" w:hAnsi="Lora" w:cs="Times New Roman"/>
          <w:color w:val="000000"/>
        </w:rPr>
        <w:t xml:space="preserve">, at </w:t>
      </w:r>
      <w:r w:rsidR="00AA5221" w:rsidRPr="00DB4117">
        <w:rPr>
          <w:rFonts w:ascii="Lora" w:eastAsia="Times New Roman" w:hAnsi="Lora" w:cs="Times New Roman"/>
          <w:color w:val="000000"/>
        </w:rPr>
        <w:t>4</w:t>
      </w:r>
      <w:r w:rsidRPr="0059488C">
        <w:rPr>
          <w:rFonts w:ascii="Lora" w:eastAsia="Times New Roman" w:hAnsi="Lora" w:cs="Times New Roman"/>
          <w:color w:val="000000"/>
        </w:rPr>
        <w:t>:</w:t>
      </w:r>
      <w:r w:rsidRPr="00DB4117">
        <w:rPr>
          <w:rFonts w:ascii="Lora" w:eastAsia="Times New Roman" w:hAnsi="Lora" w:cs="Times New Roman"/>
          <w:color w:val="000000"/>
        </w:rPr>
        <w:t>0</w:t>
      </w:r>
      <w:r w:rsidRPr="0059488C">
        <w:rPr>
          <w:rFonts w:ascii="Lora" w:eastAsia="Times New Roman" w:hAnsi="Lora" w:cs="Times New Roman"/>
          <w:color w:val="000000"/>
        </w:rPr>
        <w:t>0 P.M.</w:t>
      </w:r>
    </w:p>
    <w:p w14:paraId="5D3A135D" w14:textId="63A09CF0" w:rsidR="0059488C" w:rsidRDefault="0059488C" w:rsidP="0059488C">
      <w:pPr>
        <w:jc w:val="center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LaPorte County Complex – Meeting Room 3</w:t>
      </w:r>
    </w:p>
    <w:p w14:paraId="485D9157" w14:textId="77777777" w:rsidR="000D72E0" w:rsidRPr="00AC77B5" w:rsidRDefault="000D72E0" w:rsidP="0059488C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42E1B80" w14:textId="77777777" w:rsidR="000D72E0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MEETING AGENDA</w:t>
      </w:r>
    </w:p>
    <w:p w14:paraId="7DF02523" w14:textId="77777777" w:rsidR="00002026" w:rsidRPr="0059488C" w:rsidRDefault="00002026" w:rsidP="000020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4D9D55B" w14:textId="1EEF60A6" w:rsid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CALL TO ORDER</w:t>
      </w:r>
    </w:p>
    <w:p w14:paraId="7CCA63B7" w14:textId="03302894" w:rsidR="00002026" w:rsidRPr="0059488C" w:rsidRDefault="00002026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Lora" w:eastAsia="Times New Roman" w:hAnsi="Lora" w:cs="Times New Roman"/>
          <w:color w:val="000000"/>
        </w:rPr>
        <w:t>PLEDGE OF ALLEGIANCE</w:t>
      </w:r>
    </w:p>
    <w:p w14:paraId="4EA210AD" w14:textId="7BFF1301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ROLL CALL</w:t>
      </w:r>
    </w:p>
    <w:p w14:paraId="77DD3850" w14:textId="19790696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 xml:space="preserve">APPROVAL OF </w:t>
      </w:r>
      <w:r w:rsidRPr="00DB4117">
        <w:rPr>
          <w:rFonts w:ascii="Lora" w:eastAsia="Times New Roman" w:hAnsi="Lora" w:cs="Times New Roman"/>
          <w:color w:val="000000"/>
        </w:rPr>
        <w:t>AGENDA</w:t>
      </w:r>
    </w:p>
    <w:p w14:paraId="48BF37CA" w14:textId="726F7AD9" w:rsidR="0059488C" w:rsidRPr="00DB4117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PUBLIC COMMENT</w:t>
      </w:r>
    </w:p>
    <w:p w14:paraId="21040FD1" w14:textId="6B859F1E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APPROVAL OF MINUTES</w:t>
      </w:r>
    </w:p>
    <w:p w14:paraId="2DB5117F" w14:textId="51CF10B7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COMMUNICATIONS</w:t>
      </w:r>
    </w:p>
    <w:p w14:paraId="0AF50387" w14:textId="0B3BF85C" w:rsidR="0059488C" w:rsidRP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 xml:space="preserve">TREASURER’S REPORT AND </w:t>
      </w:r>
      <w:r w:rsidR="00002026">
        <w:rPr>
          <w:rFonts w:ascii="Lora" w:eastAsia="Times New Roman" w:hAnsi="Lora" w:cs="Times New Roman"/>
          <w:color w:val="000000"/>
        </w:rPr>
        <w:t>CONSIDERATION</w:t>
      </w:r>
      <w:r w:rsidRPr="00DB4117">
        <w:rPr>
          <w:rFonts w:ascii="Lora" w:eastAsia="Times New Roman" w:hAnsi="Lora" w:cs="Times New Roman"/>
          <w:color w:val="000000"/>
        </w:rPr>
        <w:t xml:space="preserve"> OF CLAIMS</w:t>
      </w:r>
      <w:r w:rsidR="00415984">
        <w:rPr>
          <w:rFonts w:ascii="Lora" w:eastAsia="Times New Roman" w:hAnsi="Lora" w:cs="Times New Roman"/>
          <w:color w:val="000000"/>
        </w:rPr>
        <w:t xml:space="preserve"> (attached)</w:t>
      </w:r>
    </w:p>
    <w:p w14:paraId="170F6DD0" w14:textId="2C580965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OLD BUSINESS:</w:t>
      </w:r>
    </w:p>
    <w:p w14:paraId="4F76A434" w14:textId="7B52611B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421/I94 TIF Update - Matt Reardon; MCR Partners</w:t>
      </w:r>
    </w:p>
    <w:p w14:paraId="15862CF8" w14:textId="3BC29684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KIP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– Matt Reardon; MCR Partners</w:t>
      </w:r>
    </w:p>
    <w:p w14:paraId="5777E3E9" w14:textId="7346B9CA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39N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- Matt Reardon; MCR Partners</w:t>
      </w:r>
    </w:p>
    <w:p w14:paraId="381AEF7F" w14:textId="7529559F" w:rsidR="00401C5D" w:rsidRDefault="0059488C" w:rsidP="00C01699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35/94 TIF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 Update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 – Matt Reardon; MCR Partners</w:t>
      </w:r>
      <w:bookmarkStart w:id="1" w:name="_Hlk162265429"/>
    </w:p>
    <w:p w14:paraId="28CAC3A2" w14:textId="77777777" w:rsidR="00D8435F" w:rsidRPr="009B1FEE" w:rsidRDefault="00D8435F" w:rsidP="00D8435F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9B1FEE">
        <w:rPr>
          <w:rFonts w:ascii="Lora" w:eastAsia="Times New Roman" w:hAnsi="Lora" w:cs="Times New Roman"/>
          <w:color w:val="000000"/>
          <w:sz w:val="24"/>
          <w:szCs w:val="24"/>
        </w:rPr>
        <w:t>Great Lakes Capital Bond Update-Matt Reardon; MCR Partners</w:t>
      </w:r>
    </w:p>
    <w:bookmarkEnd w:id="1"/>
    <w:p w14:paraId="025602C0" w14:textId="77777777" w:rsidR="000D6629" w:rsidRPr="009B1FEE" w:rsidRDefault="000D6629" w:rsidP="000D6629">
      <w:pPr>
        <w:pStyle w:val="ListParagraph"/>
        <w:rPr>
          <w:rFonts w:ascii="Lora" w:eastAsia="Times New Roman" w:hAnsi="Lora" w:cs="Times New Roman"/>
          <w:color w:val="000000"/>
          <w:sz w:val="12"/>
          <w:szCs w:val="12"/>
        </w:rPr>
      </w:pPr>
    </w:p>
    <w:p w14:paraId="1E9199EC" w14:textId="5ACBD8F9" w:rsidR="00FC6DD5" w:rsidRDefault="0059488C" w:rsidP="00FC6DD5">
      <w:pPr>
        <w:spacing w:line="360" w:lineRule="auto"/>
        <w:rPr>
          <w:rFonts w:ascii="Lora" w:eastAsia="Times New Roman" w:hAnsi="Lora" w:cs="Times New Roman"/>
          <w:color w:val="000000"/>
          <w:u w:val="single"/>
        </w:rPr>
      </w:pPr>
      <w:r w:rsidRPr="009B1FEE">
        <w:rPr>
          <w:rFonts w:ascii="Lora" w:eastAsia="Times New Roman" w:hAnsi="Lora" w:cs="Times New Roman"/>
          <w:color w:val="000000"/>
          <w:u w:val="single"/>
        </w:rPr>
        <w:t>NEW BUSINES</w:t>
      </w:r>
      <w:r w:rsidR="004845DC" w:rsidRPr="009B1FEE">
        <w:rPr>
          <w:rFonts w:ascii="Lora" w:eastAsia="Times New Roman" w:hAnsi="Lora" w:cs="Times New Roman"/>
          <w:color w:val="000000"/>
          <w:u w:val="single"/>
        </w:rPr>
        <w:t>S</w:t>
      </w:r>
    </w:p>
    <w:p w14:paraId="5434E355" w14:textId="77777777" w:rsidR="00D8435F" w:rsidRDefault="00D8435F" w:rsidP="00FC6DD5">
      <w:pPr>
        <w:spacing w:line="360" w:lineRule="auto"/>
        <w:rPr>
          <w:rFonts w:ascii="Lora" w:eastAsia="Times New Roman" w:hAnsi="Lora" w:cs="Times New Roman"/>
          <w:color w:val="000000"/>
          <w:u w:val="single"/>
        </w:rPr>
      </w:pPr>
    </w:p>
    <w:p w14:paraId="0EF05E44" w14:textId="1A5755C6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OTHER BUSINESS</w:t>
      </w:r>
    </w:p>
    <w:p w14:paraId="798F3A3A" w14:textId="6C323D99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ADJOURNMENT</w:t>
      </w:r>
    </w:p>
    <w:p w14:paraId="43D4CFA8" w14:textId="6F0AC305" w:rsidR="00002026" w:rsidRDefault="00AA5221" w:rsidP="00AA5221">
      <w:pPr>
        <w:spacing w:line="360" w:lineRule="auto"/>
        <w:rPr>
          <w:rFonts w:ascii="Lora" w:eastAsia="Times New Roman" w:hAnsi="Lora" w:cs="Times New Roman"/>
          <w:i/>
          <w:iCs/>
          <w:color w:val="000000"/>
        </w:rPr>
      </w:pPr>
      <w:r w:rsidRPr="00DB4117">
        <w:rPr>
          <w:rFonts w:ascii="Lora" w:eastAsia="Times New Roman" w:hAnsi="Lora" w:cs="Times New Roman"/>
          <w:i/>
          <w:iCs/>
          <w:color w:val="000000"/>
        </w:rPr>
        <w:t>The n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ext meeting is scheduled for </w:t>
      </w:r>
      <w:r w:rsidR="002D0EAA">
        <w:rPr>
          <w:rFonts w:ascii="Lora" w:eastAsia="Times New Roman" w:hAnsi="Lora" w:cs="Times New Roman"/>
          <w:i/>
          <w:iCs/>
          <w:color w:val="000000"/>
        </w:rPr>
        <w:t>June 26</w:t>
      </w:r>
      <w:r w:rsidR="00401C5D">
        <w:rPr>
          <w:rFonts w:ascii="Lora" w:eastAsia="Times New Roman" w:hAnsi="Lora" w:cs="Times New Roman"/>
          <w:i/>
          <w:iCs/>
          <w:color w:val="000000"/>
        </w:rPr>
        <w:t>,</w:t>
      </w:r>
      <w:r w:rsidR="004845DC">
        <w:rPr>
          <w:rFonts w:ascii="Lora" w:eastAsia="Times New Roman" w:hAnsi="Lora" w:cs="Times New Roman"/>
          <w:i/>
          <w:iCs/>
          <w:color w:val="000000"/>
        </w:rPr>
        <w:t xml:space="preserve"> </w:t>
      </w:r>
      <w:proofErr w:type="gramStart"/>
      <w:r w:rsidR="0059488C" w:rsidRPr="0059488C">
        <w:rPr>
          <w:rFonts w:ascii="Lora" w:eastAsia="Times New Roman" w:hAnsi="Lora" w:cs="Times New Roman"/>
          <w:i/>
          <w:iCs/>
          <w:color w:val="000000"/>
        </w:rPr>
        <w:t>202</w:t>
      </w:r>
      <w:r w:rsidR="00BD21A9">
        <w:rPr>
          <w:rFonts w:ascii="Lora" w:eastAsia="Times New Roman" w:hAnsi="Lora" w:cs="Times New Roman"/>
          <w:i/>
          <w:iCs/>
          <w:color w:val="000000"/>
        </w:rPr>
        <w:t>4</w:t>
      </w:r>
      <w:proofErr w:type="gramEnd"/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 at </w:t>
      </w:r>
      <w:r w:rsidRPr="00DB4117">
        <w:rPr>
          <w:rFonts w:ascii="Lora" w:eastAsia="Times New Roman" w:hAnsi="Lora" w:cs="Times New Roman"/>
          <w:i/>
          <w:iCs/>
          <w:color w:val="000000"/>
        </w:rPr>
        <w:t>4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:</w:t>
      </w:r>
      <w:r w:rsidRPr="00DB4117">
        <w:rPr>
          <w:rFonts w:ascii="Lora" w:eastAsia="Times New Roman" w:hAnsi="Lora" w:cs="Times New Roman"/>
          <w:i/>
          <w:iCs/>
          <w:color w:val="000000"/>
        </w:rPr>
        <w:t>0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0 p.m.</w:t>
      </w:r>
    </w:p>
    <w:p w14:paraId="25387B52" w14:textId="669016E6" w:rsidR="00333BFA" w:rsidRDefault="005948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If any member of the public wishes to attend the meeting electronically, the meeting will be available on Zoom, which can be accessed for free on the internet at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www.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zoom.us and then click the "Join a Meeting'' tab followed by the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M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eeting ID </w:t>
      </w:r>
      <w:r w:rsidR="00F479E2" w:rsidRPr="00F479E2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891 8375 4836</w:t>
      </w:r>
      <w:r w:rsidR="00401C5D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Passcode </w:t>
      </w:r>
      <w:r w:rsidR="00F479E2" w:rsidRPr="00F479E2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556619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You can also download the free Zoom app to your smartphone and join the meeting via the app</w:t>
      </w:r>
      <w:bookmarkStart w:id="2" w:name="_Hlk125312269"/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.</w:t>
      </w:r>
      <w:bookmarkEnd w:id="2"/>
      <w:r w:rsidR="00527E03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</w:t>
      </w:r>
    </w:p>
    <w:p w14:paraId="5548E4BC" w14:textId="77777777" w:rsidR="00012E8C" w:rsidRDefault="00012E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B43F30F" w14:textId="77777777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D416619" w14:textId="77777777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5120E0E6" w14:textId="77777777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18DE68BD" w14:textId="77777777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1EB9EE2" w14:textId="7F59A1D1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653C60C" w14:textId="1DED4253" w:rsidR="00D8435F" w:rsidRDefault="00D8435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3E4D171" w14:textId="053935D0" w:rsidR="00012E8C" w:rsidRDefault="00012E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1E9E0D9" w14:textId="44FB39E1" w:rsidR="00012E8C" w:rsidRDefault="00012E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583F5AD0" w14:textId="77777777" w:rsidR="00355B02" w:rsidRDefault="00355B02" w:rsidP="00355B02">
      <w:pPr>
        <w:widowControl w:val="0"/>
        <w:tabs>
          <w:tab w:val="right" w:pos="10697"/>
        </w:tabs>
        <w:autoSpaceDE w:val="0"/>
        <w:autoSpaceDN w:val="0"/>
        <w:spacing w:before="67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AB9770" w14:textId="07EE33A1" w:rsidR="00355B02" w:rsidRPr="00355B02" w:rsidRDefault="00355B02" w:rsidP="00355B02">
      <w:pPr>
        <w:widowControl w:val="0"/>
        <w:tabs>
          <w:tab w:val="right" w:pos="10697"/>
        </w:tabs>
        <w:autoSpaceDE w:val="0"/>
        <w:autoSpaceDN w:val="0"/>
        <w:spacing w:before="67"/>
        <w:jc w:val="center"/>
        <w:rPr>
          <w:rFonts w:ascii="Arial" w:eastAsia="Arial" w:hAnsi="Arial" w:cs="Arial"/>
          <w:b/>
          <w:sz w:val="28"/>
          <w:szCs w:val="28"/>
        </w:rPr>
      </w:pPr>
      <w:r w:rsidRPr="00355B02">
        <w:rPr>
          <w:rFonts w:ascii="Arial" w:eastAsia="Arial" w:hAnsi="Arial" w:cs="Arial"/>
          <w:b/>
          <w:sz w:val="28"/>
          <w:szCs w:val="28"/>
        </w:rPr>
        <w:t>LA PORTE COUNTY REDEVELOPMENT COMMISSION</w:t>
      </w:r>
    </w:p>
    <w:p w14:paraId="34DD7C1B" w14:textId="77777777" w:rsidR="00355B02" w:rsidRPr="00355B02" w:rsidRDefault="00355B02" w:rsidP="00355B02">
      <w:pPr>
        <w:widowControl w:val="0"/>
        <w:tabs>
          <w:tab w:val="left" w:pos="1440"/>
          <w:tab w:val="right" w:pos="10697"/>
        </w:tabs>
        <w:autoSpaceDE w:val="0"/>
        <w:autoSpaceDN w:val="0"/>
        <w:spacing w:before="67"/>
        <w:mirrorIndents/>
        <w:jc w:val="center"/>
        <w:rPr>
          <w:rFonts w:ascii="Arial" w:eastAsia="Arial" w:hAnsi="Arial" w:cs="Arial"/>
          <w:sz w:val="28"/>
          <w:szCs w:val="28"/>
        </w:rPr>
      </w:pPr>
      <w:r w:rsidRPr="00355B02">
        <w:rPr>
          <w:rFonts w:ascii="Arial" w:eastAsia="Arial" w:hAnsi="Arial" w:cs="Arial"/>
          <w:sz w:val="28"/>
          <w:szCs w:val="28"/>
        </w:rPr>
        <w:t>May 22, 2024</w:t>
      </w:r>
    </w:p>
    <w:p w14:paraId="2FEED82C" w14:textId="77777777" w:rsidR="00355B02" w:rsidRPr="00355B02" w:rsidRDefault="00355B02" w:rsidP="00355B02">
      <w:pPr>
        <w:widowControl w:val="0"/>
        <w:tabs>
          <w:tab w:val="left" w:pos="1440"/>
          <w:tab w:val="right" w:pos="10697"/>
        </w:tabs>
        <w:autoSpaceDE w:val="0"/>
        <w:autoSpaceDN w:val="0"/>
        <w:spacing w:before="67"/>
        <w:mirrorIndents/>
        <w:jc w:val="center"/>
        <w:rPr>
          <w:rFonts w:ascii="Arial" w:eastAsia="Arial" w:hAnsi="Arial" w:cs="Arial"/>
          <w:sz w:val="28"/>
          <w:szCs w:val="28"/>
        </w:rPr>
      </w:pPr>
      <w:r w:rsidRPr="00355B02">
        <w:rPr>
          <w:rFonts w:ascii="Arial" w:eastAsia="Arial" w:hAnsi="Arial" w:cs="Arial"/>
          <w:sz w:val="28"/>
          <w:szCs w:val="28"/>
        </w:rPr>
        <w:t>CLAIM DOCKET</w:t>
      </w:r>
    </w:p>
    <w:p w14:paraId="02283F30" w14:textId="0297D947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tbl>
      <w:tblPr>
        <w:tblStyle w:val="TableGrid"/>
        <w:tblpPr w:vertAnchor="text" w:tblpXSpec="center" w:tblpY="1"/>
        <w:tblOverlap w:val="never"/>
        <w:tblW w:w="0" w:type="auto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184"/>
        <w:gridCol w:w="3774"/>
        <w:gridCol w:w="1170"/>
        <w:gridCol w:w="1106"/>
      </w:tblGrid>
      <w:tr w:rsidR="00355B02" w:rsidRPr="00355B02" w14:paraId="3E7D0297" w14:textId="77777777" w:rsidTr="00E302D1">
        <w:trPr>
          <w:trHeight w:hRule="exact" w:val="288"/>
        </w:trPr>
        <w:tc>
          <w:tcPr>
            <w:tcW w:w="1067" w:type="dxa"/>
            <w:noWrap/>
            <w:vAlign w:val="center"/>
          </w:tcPr>
          <w:p w14:paraId="4DD99ACF" w14:textId="77777777" w:rsidR="00355B02" w:rsidRPr="00355B02" w:rsidRDefault="00355B02" w:rsidP="00355B0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u w:val="single"/>
              </w:rPr>
            </w:pPr>
            <w:bookmarkStart w:id="3" w:name="_Hlk101772027"/>
            <w:r w:rsidRPr="00355B02">
              <w:rPr>
                <w:rFonts w:ascii="Arial" w:eastAsia="Arial" w:hAnsi="Arial" w:cs="Arial"/>
                <w:u w:val="single"/>
              </w:rPr>
              <w:t>TIF</w:t>
            </w:r>
          </w:p>
        </w:tc>
        <w:tc>
          <w:tcPr>
            <w:tcW w:w="2184" w:type="dxa"/>
            <w:noWrap/>
            <w:vAlign w:val="center"/>
          </w:tcPr>
          <w:p w14:paraId="3014DDC7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355B02">
              <w:rPr>
                <w:rFonts w:ascii="Arial" w:eastAsia="Arial" w:hAnsi="Arial" w:cs="Arial"/>
                <w:u w:val="single"/>
              </w:rPr>
              <w:t>VENDOR NAME</w:t>
            </w:r>
          </w:p>
        </w:tc>
        <w:tc>
          <w:tcPr>
            <w:tcW w:w="3774" w:type="dxa"/>
            <w:noWrap/>
            <w:vAlign w:val="center"/>
          </w:tcPr>
          <w:p w14:paraId="2B8CE852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355B02">
              <w:rPr>
                <w:rFonts w:ascii="Arial" w:eastAsia="Arial" w:hAnsi="Arial" w:cs="Arial"/>
                <w:u w:val="single"/>
              </w:rPr>
              <w:t>DESCRIPTION</w:t>
            </w:r>
          </w:p>
        </w:tc>
        <w:tc>
          <w:tcPr>
            <w:tcW w:w="1170" w:type="dxa"/>
            <w:noWrap/>
            <w:vAlign w:val="center"/>
          </w:tcPr>
          <w:p w14:paraId="57B9612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u w:val="single"/>
              </w:rPr>
            </w:pPr>
            <w:r w:rsidRPr="00355B02">
              <w:rPr>
                <w:rFonts w:ascii="Arial" w:eastAsia="Arial" w:hAnsi="Arial" w:cs="Arial"/>
                <w:u w:val="single"/>
              </w:rPr>
              <w:t>AMOUNT</w:t>
            </w:r>
          </w:p>
        </w:tc>
        <w:tc>
          <w:tcPr>
            <w:tcW w:w="1106" w:type="dxa"/>
            <w:noWrap/>
            <w:vAlign w:val="center"/>
          </w:tcPr>
          <w:p w14:paraId="7DD0634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noProof/>
                <w:u w:val="single"/>
              </w:rPr>
            </w:pPr>
            <w:r w:rsidRPr="00355B02">
              <w:rPr>
                <w:rFonts w:ascii="Arial" w:eastAsia="Arial" w:hAnsi="Arial" w:cs="Arial"/>
                <w:noProof/>
                <w:u w:val="single"/>
              </w:rPr>
              <w:t>TOTALS</w:t>
            </w:r>
          </w:p>
        </w:tc>
      </w:tr>
      <w:tr w:rsidR="00355B02" w:rsidRPr="00355B02" w14:paraId="6C08E3E3" w14:textId="77777777" w:rsidTr="00E302D1">
        <w:trPr>
          <w:trHeight w:hRule="exact" w:val="352"/>
        </w:trPr>
        <w:tc>
          <w:tcPr>
            <w:tcW w:w="1067" w:type="dxa"/>
            <w:vMerge w:val="restart"/>
            <w:vAlign w:val="center"/>
          </w:tcPr>
          <w:p w14:paraId="5CD9416E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55B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KIDC</w:t>
            </w:r>
          </w:p>
        </w:tc>
        <w:tc>
          <w:tcPr>
            <w:tcW w:w="2184" w:type="dxa"/>
            <w:vAlign w:val="bottom"/>
          </w:tcPr>
          <w:p w14:paraId="15B00C5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1DD6A80C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May ’24 Professional Services</w:t>
            </w:r>
          </w:p>
        </w:tc>
        <w:tc>
          <w:tcPr>
            <w:tcW w:w="1170" w:type="dxa"/>
            <w:vAlign w:val="bottom"/>
          </w:tcPr>
          <w:p w14:paraId="4EF9958C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1106" w:type="dxa"/>
            <w:vAlign w:val="bottom"/>
          </w:tcPr>
          <w:p w14:paraId="57EAF6BF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355B02" w:rsidRPr="00355B02" w14:paraId="3804DE62" w14:textId="77777777" w:rsidTr="00E302D1">
        <w:trPr>
          <w:trHeight w:hRule="exact" w:val="352"/>
        </w:trPr>
        <w:tc>
          <w:tcPr>
            <w:tcW w:w="1067" w:type="dxa"/>
            <w:vMerge/>
            <w:vAlign w:val="center"/>
          </w:tcPr>
          <w:p w14:paraId="2C1B67E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326D430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Barnes &amp; Thornburg</w:t>
            </w:r>
          </w:p>
        </w:tc>
        <w:tc>
          <w:tcPr>
            <w:tcW w:w="3774" w:type="dxa"/>
            <w:vAlign w:val="bottom"/>
          </w:tcPr>
          <w:p w14:paraId="24B091E0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Legal Services Inv#3243135</w:t>
            </w:r>
          </w:p>
        </w:tc>
        <w:tc>
          <w:tcPr>
            <w:tcW w:w="1170" w:type="dxa"/>
            <w:vAlign w:val="bottom"/>
          </w:tcPr>
          <w:p w14:paraId="24D8F24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$699.33</w:t>
            </w:r>
          </w:p>
        </w:tc>
        <w:tc>
          <w:tcPr>
            <w:tcW w:w="1106" w:type="dxa"/>
            <w:vAlign w:val="bottom"/>
          </w:tcPr>
          <w:p w14:paraId="31D44918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355B02" w:rsidRPr="00355B02" w14:paraId="33823150" w14:textId="77777777" w:rsidTr="00E302D1">
        <w:trPr>
          <w:trHeight w:hRule="exact" w:val="352"/>
        </w:trPr>
        <w:tc>
          <w:tcPr>
            <w:tcW w:w="1067" w:type="dxa"/>
            <w:vMerge/>
            <w:vAlign w:val="center"/>
          </w:tcPr>
          <w:p w14:paraId="2DD4261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3EC583E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Guy S. DiMartino</w:t>
            </w:r>
          </w:p>
        </w:tc>
        <w:tc>
          <w:tcPr>
            <w:tcW w:w="3774" w:type="dxa"/>
            <w:vAlign w:val="bottom"/>
          </w:tcPr>
          <w:p w14:paraId="3A61854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 xml:space="preserve">April ’24 Legal Services </w:t>
            </w:r>
          </w:p>
        </w:tc>
        <w:tc>
          <w:tcPr>
            <w:tcW w:w="1170" w:type="dxa"/>
            <w:vAlign w:val="bottom"/>
          </w:tcPr>
          <w:p w14:paraId="4A424776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1106" w:type="dxa"/>
            <w:vAlign w:val="bottom"/>
          </w:tcPr>
          <w:p w14:paraId="6BBC57D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355B02" w:rsidRPr="00355B02" w14:paraId="7EB727A6" w14:textId="77777777" w:rsidTr="00E302D1">
        <w:trPr>
          <w:trHeight w:hRule="exact" w:val="288"/>
        </w:trPr>
        <w:tc>
          <w:tcPr>
            <w:tcW w:w="8195" w:type="dxa"/>
            <w:gridSpan w:val="4"/>
            <w:shd w:val="clear" w:color="auto" w:fill="D9D9D9" w:themeFill="background1" w:themeFillShade="D9"/>
            <w:vAlign w:val="bottom"/>
          </w:tcPr>
          <w:p w14:paraId="24AAA70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41D76129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$5,199.33</w:t>
            </w:r>
          </w:p>
        </w:tc>
      </w:tr>
      <w:tr w:rsidR="00355B02" w:rsidRPr="00355B02" w14:paraId="787522F2" w14:textId="77777777" w:rsidTr="00E302D1">
        <w:trPr>
          <w:trHeight w:hRule="exact" w:val="343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3790FA1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4" w:name="_Hlk79665621"/>
            <w:r w:rsidRPr="00355B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 421 #1</w:t>
            </w:r>
          </w:p>
        </w:tc>
        <w:tc>
          <w:tcPr>
            <w:tcW w:w="2184" w:type="dxa"/>
            <w:vAlign w:val="bottom"/>
          </w:tcPr>
          <w:p w14:paraId="665964EF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0E820FA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May ‘24 Professional Services</w:t>
            </w:r>
          </w:p>
        </w:tc>
        <w:tc>
          <w:tcPr>
            <w:tcW w:w="1170" w:type="dxa"/>
            <w:vAlign w:val="bottom"/>
          </w:tcPr>
          <w:p w14:paraId="2EA01413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106" w:type="dxa"/>
            <w:vAlign w:val="bottom"/>
          </w:tcPr>
          <w:p w14:paraId="4E2EE788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16C29C58" w14:textId="77777777" w:rsidTr="00E302D1">
        <w:trPr>
          <w:trHeight w:hRule="exact" w:val="334"/>
        </w:trPr>
        <w:tc>
          <w:tcPr>
            <w:tcW w:w="1067" w:type="dxa"/>
            <w:vMerge/>
            <w:shd w:val="clear" w:color="auto" w:fill="auto"/>
          </w:tcPr>
          <w:p w14:paraId="40CA9640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36F2E44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Barnes &amp; Thornburg</w:t>
            </w:r>
          </w:p>
        </w:tc>
        <w:tc>
          <w:tcPr>
            <w:tcW w:w="3774" w:type="dxa"/>
            <w:vAlign w:val="bottom"/>
          </w:tcPr>
          <w:p w14:paraId="1F2D29A7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Legal Services Inv#3243135</w:t>
            </w:r>
          </w:p>
        </w:tc>
        <w:tc>
          <w:tcPr>
            <w:tcW w:w="1170" w:type="dxa"/>
            <w:vAlign w:val="bottom"/>
          </w:tcPr>
          <w:p w14:paraId="22A3B0AE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$699.33</w:t>
            </w:r>
          </w:p>
        </w:tc>
        <w:tc>
          <w:tcPr>
            <w:tcW w:w="1106" w:type="dxa"/>
            <w:vAlign w:val="bottom"/>
          </w:tcPr>
          <w:p w14:paraId="7CBDC1D9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2166624B" w14:textId="77777777" w:rsidTr="00E302D1">
        <w:trPr>
          <w:trHeight w:hRule="exact" w:val="345"/>
        </w:trPr>
        <w:tc>
          <w:tcPr>
            <w:tcW w:w="1067" w:type="dxa"/>
            <w:vMerge/>
            <w:shd w:val="clear" w:color="auto" w:fill="auto"/>
          </w:tcPr>
          <w:p w14:paraId="42F48ED8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14:paraId="3B18DB1F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NIPSCO</w:t>
            </w:r>
          </w:p>
        </w:tc>
        <w:tc>
          <w:tcPr>
            <w:tcW w:w="3774" w:type="dxa"/>
            <w:vAlign w:val="bottom"/>
          </w:tcPr>
          <w:p w14:paraId="439B0842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March ’24-June ’24 electrical service</w:t>
            </w:r>
          </w:p>
        </w:tc>
        <w:tc>
          <w:tcPr>
            <w:tcW w:w="1170" w:type="dxa"/>
            <w:vAlign w:val="bottom"/>
          </w:tcPr>
          <w:p w14:paraId="2D989735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$270.00</w:t>
            </w:r>
          </w:p>
        </w:tc>
        <w:tc>
          <w:tcPr>
            <w:tcW w:w="1106" w:type="dxa"/>
            <w:vAlign w:val="bottom"/>
          </w:tcPr>
          <w:p w14:paraId="51ED8DD1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4C9BFCBD" w14:textId="77777777" w:rsidTr="00E302D1">
        <w:trPr>
          <w:trHeight w:hRule="exact" w:val="288"/>
        </w:trPr>
        <w:tc>
          <w:tcPr>
            <w:tcW w:w="8195" w:type="dxa"/>
            <w:gridSpan w:val="4"/>
            <w:shd w:val="clear" w:color="auto" w:fill="D9D9D9" w:themeFill="background1" w:themeFillShade="D9"/>
            <w:vAlign w:val="bottom"/>
          </w:tcPr>
          <w:p w14:paraId="6FD5A92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_Hlk101771824"/>
            <w:bookmarkEnd w:id="4"/>
            <w:r w:rsidRPr="00355B02">
              <w:rPr>
                <w:rFonts w:ascii="Arial" w:eastAsia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72C6B85F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$2,969.33</w:t>
            </w:r>
          </w:p>
        </w:tc>
      </w:tr>
      <w:bookmarkEnd w:id="5"/>
      <w:tr w:rsidR="00355B02" w:rsidRPr="00355B02" w14:paraId="7D6ECF98" w14:textId="77777777" w:rsidTr="00E302D1">
        <w:trPr>
          <w:trHeight w:hRule="exact" w:val="346"/>
        </w:trPr>
        <w:tc>
          <w:tcPr>
            <w:tcW w:w="106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3BAB9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39N</w:t>
            </w:r>
          </w:p>
        </w:tc>
        <w:tc>
          <w:tcPr>
            <w:tcW w:w="2184" w:type="dxa"/>
            <w:vAlign w:val="bottom"/>
          </w:tcPr>
          <w:p w14:paraId="67336E6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MCR Partners</w:t>
            </w:r>
          </w:p>
        </w:tc>
        <w:tc>
          <w:tcPr>
            <w:tcW w:w="3774" w:type="dxa"/>
            <w:vAlign w:val="bottom"/>
          </w:tcPr>
          <w:p w14:paraId="3B1FC42E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May ’24 Professional Services</w:t>
            </w:r>
          </w:p>
        </w:tc>
        <w:tc>
          <w:tcPr>
            <w:tcW w:w="1170" w:type="dxa"/>
            <w:vAlign w:val="bottom"/>
          </w:tcPr>
          <w:p w14:paraId="4CB5F339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1106" w:type="dxa"/>
            <w:vAlign w:val="bottom"/>
          </w:tcPr>
          <w:p w14:paraId="7B40BBB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0B8EF49D" w14:textId="77777777" w:rsidTr="00E302D1">
        <w:trPr>
          <w:trHeight w:hRule="exact" w:val="346"/>
        </w:trPr>
        <w:tc>
          <w:tcPr>
            <w:tcW w:w="106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1EF255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vAlign w:val="bottom"/>
          </w:tcPr>
          <w:p w14:paraId="014360F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Barnes &amp; Thornburg</w:t>
            </w:r>
          </w:p>
        </w:tc>
        <w:tc>
          <w:tcPr>
            <w:tcW w:w="3774" w:type="dxa"/>
            <w:vAlign w:val="bottom"/>
          </w:tcPr>
          <w:p w14:paraId="10EB1B5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Legal Services Inv#3243135</w:t>
            </w:r>
          </w:p>
        </w:tc>
        <w:tc>
          <w:tcPr>
            <w:tcW w:w="1170" w:type="dxa"/>
            <w:vAlign w:val="bottom"/>
          </w:tcPr>
          <w:p w14:paraId="268513B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$699.34</w:t>
            </w:r>
          </w:p>
        </w:tc>
        <w:tc>
          <w:tcPr>
            <w:tcW w:w="1106" w:type="dxa"/>
            <w:vAlign w:val="bottom"/>
          </w:tcPr>
          <w:p w14:paraId="5A51B4B9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62D284B8" w14:textId="77777777" w:rsidTr="00E302D1">
        <w:trPr>
          <w:trHeight w:hRule="exact" w:val="346"/>
        </w:trPr>
        <w:tc>
          <w:tcPr>
            <w:tcW w:w="1067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4AED47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mirrorIndents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vAlign w:val="bottom"/>
          </w:tcPr>
          <w:p w14:paraId="037D5FC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 xml:space="preserve">Herald – Dispatch </w:t>
            </w:r>
          </w:p>
        </w:tc>
        <w:tc>
          <w:tcPr>
            <w:tcW w:w="3774" w:type="dxa"/>
            <w:vAlign w:val="bottom"/>
          </w:tcPr>
          <w:p w14:paraId="7BD07530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Legal Claim Publication</w:t>
            </w:r>
          </w:p>
        </w:tc>
        <w:tc>
          <w:tcPr>
            <w:tcW w:w="1170" w:type="dxa"/>
            <w:vAlign w:val="bottom"/>
          </w:tcPr>
          <w:p w14:paraId="072CA41C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</w:rPr>
              <w:t>$21.08</w:t>
            </w:r>
          </w:p>
        </w:tc>
        <w:tc>
          <w:tcPr>
            <w:tcW w:w="1106" w:type="dxa"/>
            <w:vAlign w:val="bottom"/>
          </w:tcPr>
          <w:p w14:paraId="56A0686A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B02" w:rsidRPr="00355B02" w14:paraId="0D87EA5B" w14:textId="77777777" w:rsidTr="00E302D1">
        <w:trPr>
          <w:trHeight w:hRule="exact" w:val="432"/>
        </w:trPr>
        <w:tc>
          <w:tcPr>
            <w:tcW w:w="8195" w:type="dxa"/>
            <w:gridSpan w:val="4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413A7B5C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right="-15"/>
              <w:mirrorIndent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B0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Subtotal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7B9B3D34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mirrorIndents/>
              <w:jc w:val="right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  <w:u w:val="single"/>
              </w:rPr>
              <w:t>$1,720.42</w:t>
            </w:r>
          </w:p>
        </w:tc>
      </w:tr>
      <w:tr w:rsidR="00355B02" w:rsidRPr="00355B02" w14:paraId="61D56F99" w14:textId="77777777" w:rsidTr="00E302D1">
        <w:trPr>
          <w:trHeight w:hRule="exact" w:val="317"/>
        </w:trPr>
        <w:tc>
          <w:tcPr>
            <w:tcW w:w="8195" w:type="dxa"/>
            <w:gridSpan w:val="4"/>
            <w:shd w:val="clear" w:color="auto" w:fill="D9D9D9" w:themeFill="background1" w:themeFillShade="D9"/>
          </w:tcPr>
          <w:p w14:paraId="32365F47" w14:textId="77777777" w:rsidR="00355B02" w:rsidRPr="00355B02" w:rsidRDefault="00355B02" w:rsidP="00355B02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6" w:name="_Hlk101771873"/>
            <w:r w:rsidRPr="00355B02">
              <w:rPr>
                <w:rFonts w:ascii="Arial" w:eastAsia="Arial" w:hAnsi="Arial" w:cs="Arial"/>
                <w:b/>
                <w:sz w:val="20"/>
                <w:szCs w:val="20"/>
              </w:rPr>
              <w:t>TOTAL OF REGULAR CLAIMS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bottom"/>
          </w:tcPr>
          <w:p w14:paraId="6AF205CD" w14:textId="77777777" w:rsidR="00355B02" w:rsidRPr="00355B02" w:rsidRDefault="00355B02" w:rsidP="00355B02">
            <w:pPr>
              <w:widowControl w:val="0"/>
              <w:tabs>
                <w:tab w:val="left" w:pos="1440"/>
                <w:tab w:val="right" w:pos="10697"/>
              </w:tabs>
              <w:autoSpaceDE w:val="0"/>
              <w:autoSpaceDN w:val="0"/>
              <w:spacing w:before="67"/>
              <w:ind w:left="-35" w:hanging="90"/>
              <w:mirrorIndents/>
              <w:jc w:val="right"/>
              <w:rPr>
                <w:rFonts w:ascii="Arial" w:eastAsia="Arial" w:hAnsi="Arial" w:cs="Arial"/>
                <w:sz w:val="20"/>
                <w:szCs w:val="20"/>
                <w:u w:val="double"/>
              </w:rPr>
            </w:pPr>
            <w:r w:rsidRPr="00355B02">
              <w:rPr>
                <w:rFonts w:ascii="Arial" w:eastAsia="Arial" w:hAnsi="Arial" w:cs="Arial"/>
                <w:sz w:val="20"/>
                <w:szCs w:val="20"/>
                <w:u w:val="double"/>
              </w:rPr>
              <w:t>$9,889.08</w:t>
            </w:r>
          </w:p>
        </w:tc>
      </w:tr>
      <w:bookmarkEnd w:id="3"/>
      <w:bookmarkEnd w:id="6"/>
    </w:tbl>
    <w:p w14:paraId="7B1B7310" w14:textId="00B6E14A" w:rsidR="00C67AC4" w:rsidRDefault="00C67AC4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C300DE1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2A1E48A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061BCBA1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3A46A44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26C8122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CB113F0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9493CF1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1DEEC0F0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A5E80C2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7F4D4CB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4FC12938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9BF95D0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A55A047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E6BDD04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276C27D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7516A317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297CB1C" w14:textId="77777777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24DDC8BE" w14:textId="730BF705" w:rsidR="00355B02" w:rsidRDefault="00355B02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F977C0A" w14:textId="2D1079F9" w:rsidR="00C67AC4" w:rsidRDefault="006C23E6" w:rsidP="006C23E6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 w:rsidRPr="00355B0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3D18E" wp14:editId="1122C9C5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</wp:posOffset>
                </wp:positionV>
                <wp:extent cx="6312535" cy="2686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686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A992" w14:textId="77777777" w:rsidR="00355B02" w:rsidRDefault="00355B02" w:rsidP="00355B02">
                            <w:pPr>
                              <w:jc w:val="both"/>
                            </w:pPr>
                            <w:r w:rsidRPr="00DB1545">
                              <w:t xml:space="preserve">We have examined the claims listed above, consisting of one (1) page, and except for Claims which </w:t>
                            </w:r>
                            <w:r>
                              <w:t>may</w:t>
                            </w:r>
                            <w:r w:rsidRPr="00DB1545">
                              <w:t xml:space="preserve"> be listed below; such vouchers are allowed in the total amount of </w:t>
                            </w:r>
                            <w:r w:rsidRPr="00DB1545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>9,889.08.</w:t>
                            </w:r>
                            <w:r w:rsidRPr="005946D1">
                              <w:t xml:space="preserve">  </w:t>
                            </w:r>
                            <w:r w:rsidRPr="00684420">
                              <w:t>Th</w:t>
                            </w:r>
                            <w:r w:rsidRPr="00DB1545">
                              <w:t>e Allowance of Claims, related motions and/or discussions by Committee Members will be</w:t>
                            </w:r>
                            <w:r>
                              <w:t xml:space="preserve"> </w:t>
                            </w:r>
                            <w:r w:rsidRPr="00DB1545">
                              <w:t>included in the</w:t>
                            </w:r>
                            <w:r>
                              <w:t xml:space="preserve"> </w:t>
                            </w:r>
                            <w:r w:rsidRPr="00DB1545">
                              <w:t>La Porte County Redevelopment Commission meeting minutes.</w:t>
                            </w:r>
                          </w:p>
                          <w:p w14:paraId="5B844FFB" w14:textId="77777777" w:rsidR="00355B02" w:rsidRDefault="00355B02" w:rsidP="00355B02">
                            <w:pPr>
                              <w:jc w:val="both"/>
                            </w:pPr>
                          </w:p>
                          <w:p w14:paraId="7DFD3974" w14:textId="77777777" w:rsidR="00355B02" w:rsidRDefault="00355B02" w:rsidP="00355B02">
                            <w:pPr>
                              <w:jc w:val="both"/>
                            </w:pPr>
                            <w:r>
                              <w:t xml:space="preserve">Dated this 22nd day of </w:t>
                            </w:r>
                            <w:proofErr w:type="gramStart"/>
                            <w:r>
                              <w:t>May,</w:t>
                            </w:r>
                            <w:proofErr w:type="gramEnd"/>
                            <w:r>
                              <w:t xml:space="preserve"> 2024</w:t>
                            </w:r>
                          </w:p>
                          <w:p w14:paraId="76921F35" w14:textId="77777777" w:rsidR="00355B02" w:rsidRDefault="00355B02" w:rsidP="00355B02">
                            <w:pPr>
                              <w:spacing w:before="240"/>
                              <w:jc w:val="both"/>
                            </w:pPr>
                            <w:r>
                              <w:t>_____________________________________</w:t>
                            </w:r>
                          </w:p>
                          <w:p w14:paraId="5EC42F0F" w14:textId="77777777" w:rsidR="00355B02" w:rsidRDefault="00355B02" w:rsidP="00355B02">
                            <w:pPr>
                              <w:jc w:val="both"/>
                            </w:pPr>
                            <w:r>
                              <w:t>Randy Novak, President</w:t>
                            </w:r>
                          </w:p>
                          <w:p w14:paraId="274E4790" w14:textId="77777777" w:rsidR="00355B02" w:rsidRDefault="00355B02" w:rsidP="00355B02">
                            <w:pPr>
                              <w:jc w:val="both"/>
                            </w:pPr>
                            <w:r>
                              <w:t>La Porte County Redevelopment Commission</w:t>
                            </w:r>
                          </w:p>
                          <w:p w14:paraId="011C357C" w14:textId="77777777" w:rsidR="00355B02" w:rsidRDefault="00355B02" w:rsidP="00355B02">
                            <w:pPr>
                              <w:jc w:val="both"/>
                            </w:pPr>
                          </w:p>
                          <w:p w14:paraId="323C852E" w14:textId="77777777" w:rsidR="00355B02" w:rsidRDefault="00355B02" w:rsidP="00355B02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3E5A3D">
                              <w:rPr>
                                <w:i/>
                                <w:iCs/>
                              </w:rPr>
                              <w:t>Please list any denied or tabled claims:</w:t>
                            </w:r>
                          </w:p>
                          <w:p w14:paraId="56CDF2DA" w14:textId="77777777" w:rsidR="00355B02" w:rsidRDefault="00355B02" w:rsidP="00355B02">
                            <w:pPr>
                              <w:jc w:val="both"/>
                            </w:pPr>
                          </w:p>
                          <w:p w14:paraId="35EA82EE" w14:textId="77777777" w:rsidR="00355B02" w:rsidRDefault="00355B02" w:rsidP="00355B02">
                            <w:pPr>
                              <w:jc w:val="both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D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8.85pt;width:497.05pt;height:21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" filled="f" stroked="f" strokeweight="1.5pt">
                <v:textbox>
                  <w:txbxContent>
                    <w:p w14:paraId="7666A992" w14:textId="77777777" w:rsidR="00355B02" w:rsidRDefault="00355B02" w:rsidP="00355B02">
                      <w:pPr>
                        <w:jc w:val="both"/>
                      </w:pPr>
                      <w:r w:rsidRPr="00DB1545">
                        <w:t xml:space="preserve">We have examined the claims listed above, consisting of one (1) page, and except for Claims which </w:t>
                      </w:r>
                      <w:r>
                        <w:t>may</w:t>
                      </w:r>
                      <w:r w:rsidRPr="00DB1545">
                        <w:t xml:space="preserve"> be listed below; such vouchers are allowed in the total amount of </w:t>
                      </w:r>
                      <w:r w:rsidRPr="00DB1545"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>9,889.08.</w:t>
                      </w:r>
                      <w:r w:rsidRPr="005946D1">
                        <w:t xml:space="preserve">  </w:t>
                      </w:r>
                      <w:r w:rsidRPr="00684420">
                        <w:t>Th</w:t>
                      </w:r>
                      <w:r w:rsidRPr="00DB1545">
                        <w:t>e Allowance of Claims, related motions and/or discussions by Committee Members will be</w:t>
                      </w:r>
                      <w:r>
                        <w:t xml:space="preserve"> </w:t>
                      </w:r>
                      <w:r w:rsidRPr="00DB1545">
                        <w:t>included in the</w:t>
                      </w:r>
                      <w:r>
                        <w:t xml:space="preserve"> </w:t>
                      </w:r>
                      <w:r w:rsidRPr="00DB1545">
                        <w:t>La Porte County Redevelopment Commission meeting minutes.</w:t>
                      </w:r>
                    </w:p>
                    <w:p w14:paraId="5B844FFB" w14:textId="77777777" w:rsidR="00355B02" w:rsidRDefault="00355B02" w:rsidP="00355B02">
                      <w:pPr>
                        <w:jc w:val="both"/>
                      </w:pPr>
                    </w:p>
                    <w:p w14:paraId="7DFD3974" w14:textId="77777777" w:rsidR="00355B02" w:rsidRDefault="00355B02" w:rsidP="00355B02">
                      <w:pPr>
                        <w:jc w:val="both"/>
                      </w:pPr>
                      <w:r>
                        <w:t xml:space="preserve">Dated this 22nd day of </w:t>
                      </w:r>
                      <w:proofErr w:type="gramStart"/>
                      <w:r>
                        <w:t>May,</w:t>
                      </w:r>
                      <w:proofErr w:type="gramEnd"/>
                      <w:r>
                        <w:t xml:space="preserve"> 2024</w:t>
                      </w:r>
                    </w:p>
                    <w:p w14:paraId="76921F35" w14:textId="77777777" w:rsidR="00355B02" w:rsidRDefault="00355B02" w:rsidP="00355B02">
                      <w:pPr>
                        <w:spacing w:before="240"/>
                        <w:jc w:val="both"/>
                      </w:pPr>
                      <w:r>
                        <w:t>_____________________________________</w:t>
                      </w:r>
                    </w:p>
                    <w:p w14:paraId="5EC42F0F" w14:textId="77777777" w:rsidR="00355B02" w:rsidRDefault="00355B02" w:rsidP="00355B02">
                      <w:pPr>
                        <w:jc w:val="both"/>
                      </w:pPr>
                      <w:r>
                        <w:t>Randy Novak, President</w:t>
                      </w:r>
                    </w:p>
                    <w:p w14:paraId="274E4790" w14:textId="77777777" w:rsidR="00355B02" w:rsidRDefault="00355B02" w:rsidP="00355B02">
                      <w:pPr>
                        <w:jc w:val="both"/>
                      </w:pPr>
                      <w:r>
                        <w:t>La Porte County Redevelopment Commission</w:t>
                      </w:r>
                    </w:p>
                    <w:p w14:paraId="011C357C" w14:textId="77777777" w:rsidR="00355B02" w:rsidRDefault="00355B02" w:rsidP="00355B02">
                      <w:pPr>
                        <w:jc w:val="both"/>
                      </w:pPr>
                    </w:p>
                    <w:p w14:paraId="323C852E" w14:textId="77777777" w:rsidR="00355B02" w:rsidRDefault="00355B02" w:rsidP="00355B02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3E5A3D">
                        <w:rPr>
                          <w:i/>
                          <w:iCs/>
                        </w:rPr>
                        <w:t>Please list any denied or tabled claims:</w:t>
                      </w:r>
                    </w:p>
                    <w:p w14:paraId="56CDF2DA" w14:textId="77777777" w:rsidR="00355B02" w:rsidRDefault="00355B02" w:rsidP="00355B02">
                      <w:pPr>
                        <w:jc w:val="both"/>
                      </w:pPr>
                    </w:p>
                    <w:p w14:paraId="35EA82EE" w14:textId="77777777" w:rsidR="00355B02" w:rsidRDefault="00355B02" w:rsidP="00355B02">
                      <w:pPr>
                        <w:jc w:val="both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w w:val="105"/>
          <w:sz w:val="20"/>
          <w:szCs w:val="20"/>
        </w:rPr>
        <w:t xml:space="preserve">                                                                 </w:t>
      </w:r>
      <w:r w:rsidR="00355B02" w:rsidRPr="00355B02">
        <w:rPr>
          <w:rFonts w:ascii="Arial" w:hAnsi="Arial" w:cs="Arial"/>
          <w:b/>
          <w:bCs/>
          <w:w w:val="105"/>
          <w:sz w:val="20"/>
          <w:szCs w:val="20"/>
        </w:rPr>
        <w:t>ALLOWANCE OF CLAIMS</w:t>
      </w:r>
    </w:p>
    <w:sectPr w:rsidR="00C67AC4" w:rsidSect="00950104">
      <w:headerReference w:type="default" r:id="rId7"/>
      <w:pgSz w:w="12240" w:h="15840"/>
      <w:pgMar w:top="1008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E30" w14:textId="77777777" w:rsidR="00950104" w:rsidRDefault="00950104" w:rsidP="00AA5221">
      <w:r>
        <w:separator/>
      </w:r>
    </w:p>
  </w:endnote>
  <w:endnote w:type="continuationSeparator" w:id="0">
    <w:p w14:paraId="1B5F76BC" w14:textId="77777777" w:rsidR="00950104" w:rsidRDefault="00950104" w:rsidP="00A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DF78" w14:textId="77777777" w:rsidR="00950104" w:rsidRDefault="00950104" w:rsidP="00AA5221">
      <w:r>
        <w:separator/>
      </w:r>
    </w:p>
  </w:footnote>
  <w:footnote w:type="continuationSeparator" w:id="0">
    <w:p w14:paraId="32CD2929" w14:textId="77777777" w:rsidR="00950104" w:rsidRDefault="00950104" w:rsidP="00AA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BC95" w14:textId="509D9921" w:rsidR="00AC77B5" w:rsidRDefault="00AC77B5">
    <w:pPr>
      <w:pStyle w:val="Header"/>
    </w:pPr>
    <w:r>
      <w:rPr>
        <w:noProof/>
      </w:rPr>
      <w:drawing>
        <wp:inline distT="0" distB="0" distL="0" distR="0" wp14:anchorId="689232E5" wp14:editId="47277AC4">
          <wp:extent cx="5998845" cy="603250"/>
          <wp:effectExtent l="0" t="0" r="1905" b="6350"/>
          <wp:docPr id="1578187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11B9"/>
    <w:multiLevelType w:val="hybridMultilevel"/>
    <w:tmpl w:val="44A85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0F47E9"/>
    <w:multiLevelType w:val="hybridMultilevel"/>
    <w:tmpl w:val="42947C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7D486C"/>
    <w:multiLevelType w:val="hybridMultilevel"/>
    <w:tmpl w:val="820A57B8"/>
    <w:lvl w:ilvl="0" w:tplc="BAF2658E">
      <w:start w:val="1"/>
      <w:numFmt w:val="decimal"/>
      <w:lvlText w:val="%1."/>
      <w:lvlJc w:val="left"/>
      <w:pPr>
        <w:ind w:left="744" w:hanging="360"/>
      </w:pPr>
      <w:rPr>
        <w:rFonts w:ascii="Lora" w:hAnsi="Lora"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28A4632"/>
    <w:multiLevelType w:val="multilevel"/>
    <w:tmpl w:val="63C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D1D10"/>
    <w:multiLevelType w:val="multilevel"/>
    <w:tmpl w:val="356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346D0"/>
    <w:multiLevelType w:val="hybridMultilevel"/>
    <w:tmpl w:val="DE60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2BBF"/>
    <w:multiLevelType w:val="hybridMultilevel"/>
    <w:tmpl w:val="B09CCF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4584518"/>
    <w:multiLevelType w:val="hybridMultilevel"/>
    <w:tmpl w:val="43B83920"/>
    <w:lvl w:ilvl="0" w:tplc="543E28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690375004">
    <w:abstractNumId w:val="1"/>
  </w:num>
  <w:num w:numId="2" w16cid:durableId="1151403941">
    <w:abstractNumId w:val="6"/>
  </w:num>
  <w:num w:numId="3" w16cid:durableId="871111537">
    <w:abstractNumId w:val="0"/>
  </w:num>
  <w:num w:numId="4" w16cid:durableId="1485313766">
    <w:abstractNumId w:val="4"/>
  </w:num>
  <w:num w:numId="5" w16cid:durableId="950622231">
    <w:abstractNumId w:val="3"/>
  </w:num>
  <w:num w:numId="6" w16cid:durableId="531502663">
    <w:abstractNumId w:val="5"/>
  </w:num>
  <w:num w:numId="7" w16cid:durableId="155072197">
    <w:abstractNumId w:val="2"/>
  </w:num>
  <w:num w:numId="8" w16cid:durableId="473302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8C"/>
    <w:rsid w:val="00002026"/>
    <w:rsid w:val="00012E8C"/>
    <w:rsid w:val="00017DED"/>
    <w:rsid w:val="000518CE"/>
    <w:rsid w:val="000D3DE9"/>
    <w:rsid w:val="000D6629"/>
    <w:rsid w:val="000D6A4C"/>
    <w:rsid w:val="000D72E0"/>
    <w:rsid w:val="000E0765"/>
    <w:rsid w:val="000F574D"/>
    <w:rsid w:val="001007EC"/>
    <w:rsid w:val="00110B68"/>
    <w:rsid w:val="001137D5"/>
    <w:rsid w:val="00125D8B"/>
    <w:rsid w:val="00135947"/>
    <w:rsid w:val="0013615E"/>
    <w:rsid w:val="00164B50"/>
    <w:rsid w:val="0018569D"/>
    <w:rsid w:val="00196793"/>
    <w:rsid w:val="001E044E"/>
    <w:rsid w:val="001E1103"/>
    <w:rsid w:val="001F314C"/>
    <w:rsid w:val="0022263C"/>
    <w:rsid w:val="0027363E"/>
    <w:rsid w:val="002D0EAA"/>
    <w:rsid w:val="002E4914"/>
    <w:rsid w:val="00301323"/>
    <w:rsid w:val="00333BFA"/>
    <w:rsid w:val="00344B7E"/>
    <w:rsid w:val="00355B02"/>
    <w:rsid w:val="00381E7F"/>
    <w:rsid w:val="00382581"/>
    <w:rsid w:val="003A7CFB"/>
    <w:rsid w:val="003F4657"/>
    <w:rsid w:val="00401C5D"/>
    <w:rsid w:val="00415984"/>
    <w:rsid w:val="00454857"/>
    <w:rsid w:val="00461314"/>
    <w:rsid w:val="004845DC"/>
    <w:rsid w:val="00527E03"/>
    <w:rsid w:val="005371B6"/>
    <w:rsid w:val="00554449"/>
    <w:rsid w:val="00593E56"/>
    <w:rsid w:val="0059488C"/>
    <w:rsid w:val="005E3A80"/>
    <w:rsid w:val="005E5B9A"/>
    <w:rsid w:val="00612CB8"/>
    <w:rsid w:val="0061326C"/>
    <w:rsid w:val="00621031"/>
    <w:rsid w:val="0062790E"/>
    <w:rsid w:val="00637D9C"/>
    <w:rsid w:val="00675A88"/>
    <w:rsid w:val="00684550"/>
    <w:rsid w:val="006B5771"/>
    <w:rsid w:val="006C23E6"/>
    <w:rsid w:val="006C46C6"/>
    <w:rsid w:val="006C4D10"/>
    <w:rsid w:val="006D7EFA"/>
    <w:rsid w:val="007030EF"/>
    <w:rsid w:val="0071411D"/>
    <w:rsid w:val="007351C3"/>
    <w:rsid w:val="0075436F"/>
    <w:rsid w:val="00782F49"/>
    <w:rsid w:val="007E64D9"/>
    <w:rsid w:val="00847938"/>
    <w:rsid w:val="0086297C"/>
    <w:rsid w:val="00862FAA"/>
    <w:rsid w:val="0093427D"/>
    <w:rsid w:val="009375F8"/>
    <w:rsid w:val="00942616"/>
    <w:rsid w:val="009455E7"/>
    <w:rsid w:val="00950104"/>
    <w:rsid w:val="009B1FEE"/>
    <w:rsid w:val="00A00D3E"/>
    <w:rsid w:val="00A37276"/>
    <w:rsid w:val="00A56141"/>
    <w:rsid w:val="00A563C5"/>
    <w:rsid w:val="00A66861"/>
    <w:rsid w:val="00A92940"/>
    <w:rsid w:val="00A96F1A"/>
    <w:rsid w:val="00AA5221"/>
    <w:rsid w:val="00AC77B5"/>
    <w:rsid w:val="00AD1EF9"/>
    <w:rsid w:val="00AD62AC"/>
    <w:rsid w:val="00AF4226"/>
    <w:rsid w:val="00B3070F"/>
    <w:rsid w:val="00B62FFC"/>
    <w:rsid w:val="00B7346B"/>
    <w:rsid w:val="00BC5B37"/>
    <w:rsid w:val="00BD047A"/>
    <w:rsid w:val="00BD21A9"/>
    <w:rsid w:val="00BF4AE9"/>
    <w:rsid w:val="00BF4C9E"/>
    <w:rsid w:val="00C01699"/>
    <w:rsid w:val="00C0361C"/>
    <w:rsid w:val="00C2702B"/>
    <w:rsid w:val="00C51E3D"/>
    <w:rsid w:val="00C52AFC"/>
    <w:rsid w:val="00C63C67"/>
    <w:rsid w:val="00C67AC4"/>
    <w:rsid w:val="00CA6DCF"/>
    <w:rsid w:val="00CE25E8"/>
    <w:rsid w:val="00D06921"/>
    <w:rsid w:val="00D22A94"/>
    <w:rsid w:val="00D3034A"/>
    <w:rsid w:val="00D5008A"/>
    <w:rsid w:val="00D645F6"/>
    <w:rsid w:val="00D8435F"/>
    <w:rsid w:val="00D85545"/>
    <w:rsid w:val="00DB4117"/>
    <w:rsid w:val="00DD7041"/>
    <w:rsid w:val="00DD73E2"/>
    <w:rsid w:val="00DF36EB"/>
    <w:rsid w:val="00EB18F5"/>
    <w:rsid w:val="00EC3A57"/>
    <w:rsid w:val="00F02342"/>
    <w:rsid w:val="00F154FC"/>
    <w:rsid w:val="00F15F0F"/>
    <w:rsid w:val="00F3242F"/>
    <w:rsid w:val="00F35799"/>
    <w:rsid w:val="00F479E2"/>
    <w:rsid w:val="00F612A9"/>
    <w:rsid w:val="00F71BF4"/>
    <w:rsid w:val="00FA2C08"/>
    <w:rsid w:val="00FC5F7A"/>
    <w:rsid w:val="00FC6DD5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7FBEF"/>
  <w15:chartTrackingRefBased/>
  <w15:docId w15:val="{7C1A609A-05A4-7149-A769-8267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8C"/>
    <w:pPr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4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221"/>
  </w:style>
  <w:style w:type="paragraph" w:styleId="Footer">
    <w:name w:val="footer"/>
    <w:basedOn w:val="Normal"/>
    <w:link w:val="Foot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221"/>
  </w:style>
  <w:style w:type="paragraph" w:styleId="NoSpacing">
    <w:name w:val="No Spacing"/>
    <w:uiPriority w:val="1"/>
    <w:qFormat/>
    <w:rsid w:val="00593E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593E5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Kiel</dc:creator>
  <cp:keywords/>
  <dc:description/>
  <cp:lastModifiedBy>Susan Alyea</cp:lastModifiedBy>
  <cp:revision>7</cp:revision>
  <cp:lastPrinted>2023-09-25T14:30:00Z</cp:lastPrinted>
  <dcterms:created xsi:type="dcterms:W3CDTF">2024-05-15T18:36:00Z</dcterms:created>
  <dcterms:modified xsi:type="dcterms:W3CDTF">2024-05-15T19:07:00Z</dcterms:modified>
</cp:coreProperties>
</file>